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2D75" w14:textId="77777777" w:rsidR="00A87DC7" w:rsidRDefault="00A87DC7" w:rsidP="00A87DC7">
      <w:pPr>
        <w:jc w:val="right"/>
        <w:rPr>
          <w:b/>
          <w:bCs/>
        </w:rPr>
      </w:pPr>
    </w:p>
    <w:p w14:paraId="35186E46" w14:textId="5883C03D" w:rsidR="006B2F35" w:rsidRDefault="00383261" w:rsidP="00EC5A1A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58911" wp14:editId="49AAA248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1143000" cy="457200"/>
            <wp:effectExtent l="0" t="0" r="0" b="0"/>
            <wp:wrapTight wrapText="bothSides">
              <wp:wrapPolygon edited="0">
                <wp:start x="360" y="0"/>
                <wp:lineTo x="0" y="2700"/>
                <wp:lineTo x="0" y="18900"/>
                <wp:lineTo x="360" y="20700"/>
                <wp:lineTo x="4320" y="20700"/>
                <wp:lineTo x="21240" y="17100"/>
                <wp:lineTo x="21240" y="3600"/>
                <wp:lineTo x="4320" y="0"/>
                <wp:lineTo x="360" y="0"/>
              </wp:wrapPolygon>
            </wp:wrapTight>
            <wp:docPr id="1020996515" name="Picture 1" descr="A green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96515" name="Picture 1" descr="A green letter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276">
        <w:rPr>
          <w:noProof/>
        </w:rPr>
        <w:drawing>
          <wp:inline distT="0" distB="0" distL="0" distR="0" wp14:anchorId="37277BFD" wp14:editId="4B736857">
            <wp:extent cx="1460500" cy="577850"/>
            <wp:effectExtent l="0" t="0" r="6350" b="0"/>
            <wp:docPr id="119814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AD6F" w14:textId="69F8F32E" w:rsidR="00C3132D" w:rsidRDefault="00292AE7" w:rsidP="00EC5A1A">
      <w:pPr>
        <w:jc w:val="center"/>
        <w:rPr>
          <w:b/>
          <w:bCs/>
        </w:rPr>
      </w:pPr>
      <w:r w:rsidRPr="00292AE7">
        <w:rPr>
          <w:b/>
          <w:bCs/>
        </w:rPr>
        <w:t>Terms of Reference (TOR)</w:t>
      </w:r>
    </w:p>
    <w:p w14:paraId="74E92F1C" w14:textId="53B3A984" w:rsidR="009C650A" w:rsidRPr="00EC5A1A" w:rsidRDefault="00950B0B" w:rsidP="008D3DF0">
      <w:pPr>
        <w:rPr>
          <w:b/>
          <w:bCs/>
          <w:u w:val="single"/>
        </w:rPr>
      </w:pPr>
      <w:r>
        <w:rPr>
          <w:b/>
          <w:bCs/>
        </w:rPr>
        <w:t xml:space="preserve"> </w:t>
      </w:r>
      <w:r w:rsidR="00893D64" w:rsidRPr="00EC5A1A">
        <w:rPr>
          <w:b/>
          <w:bCs/>
          <w:u w:val="single"/>
        </w:rPr>
        <w:t>Consultancy</w:t>
      </w:r>
      <w:r w:rsidRPr="00EC5A1A">
        <w:rPr>
          <w:b/>
          <w:bCs/>
          <w:u w:val="single"/>
        </w:rPr>
        <w:t xml:space="preserve"> </w:t>
      </w:r>
      <w:r w:rsidR="009C650A" w:rsidRPr="00EC5A1A">
        <w:rPr>
          <w:b/>
          <w:bCs/>
          <w:u w:val="single"/>
        </w:rPr>
        <w:t>service for</w:t>
      </w:r>
      <w:r w:rsidR="00893D64" w:rsidRPr="00EC5A1A">
        <w:rPr>
          <w:b/>
          <w:bCs/>
          <w:u w:val="single"/>
        </w:rPr>
        <w:t xml:space="preserve"> Climate and child</w:t>
      </w:r>
      <w:r w:rsidR="006B3A97" w:rsidRPr="00EC5A1A">
        <w:rPr>
          <w:b/>
          <w:bCs/>
          <w:u w:val="single"/>
        </w:rPr>
        <w:t xml:space="preserve"> protection </w:t>
      </w:r>
      <w:r w:rsidR="004C1AA5" w:rsidRPr="00EC5A1A">
        <w:rPr>
          <w:b/>
          <w:bCs/>
          <w:u w:val="single"/>
        </w:rPr>
        <w:t xml:space="preserve">Risks </w:t>
      </w:r>
      <w:r w:rsidR="004C1AA5">
        <w:rPr>
          <w:b/>
          <w:bCs/>
          <w:u w:val="single"/>
        </w:rPr>
        <w:t>assessment</w:t>
      </w:r>
      <w:r w:rsidR="00054E30">
        <w:rPr>
          <w:b/>
          <w:bCs/>
          <w:u w:val="single"/>
        </w:rPr>
        <w:t xml:space="preserve"> and </w:t>
      </w:r>
      <w:r w:rsidR="00067919" w:rsidRPr="00EC5A1A">
        <w:rPr>
          <w:b/>
          <w:bCs/>
          <w:u w:val="single"/>
        </w:rPr>
        <w:t>I</w:t>
      </w:r>
      <w:r w:rsidR="00974711" w:rsidRPr="00EC5A1A">
        <w:rPr>
          <w:b/>
          <w:bCs/>
          <w:u w:val="single"/>
        </w:rPr>
        <w:t xml:space="preserve">dentification under Anticipatory Action </w:t>
      </w:r>
      <w:r w:rsidR="009C650A" w:rsidRPr="00EC5A1A">
        <w:rPr>
          <w:b/>
          <w:bCs/>
          <w:u w:val="single"/>
        </w:rPr>
        <w:t>in 16</w:t>
      </w:r>
      <w:r w:rsidRPr="00EC5A1A">
        <w:rPr>
          <w:b/>
          <w:bCs/>
          <w:u w:val="single"/>
        </w:rPr>
        <w:t xml:space="preserve"> </w:t>
      </w:r>
      <w:r w:rsidR="00974711" w:rsidRPr="00EC5A1A">
        <w:rPr>
          <w:b/>
          <w:bCs/>
          <w:u w:val="single"/>
        </w:rPr>
        <w:t>Schools</w:t>
      </w:r>
      <w:r w:rsidRPr="00EC5A1A">
        <w:rPr>
          <w:b/>
          <w:bCs/>
          <w:u w:val="single"/>
        </w:rPr>
        <w:t xml:space="preserve">- </w:t>
      </w:r>
      <w:r w:rsidR="00562C76" w:rsidRPr="00EC5A1A">
        <w:rPr>
          <w:b/>
          <w:bCs/>
          <w:u w:val="single"/>
        </w:rPr>
        <w:t xml:space="preserve">BN </w:t>
      </w:r>
    </w:p>
    <w:p w14:paraId="4876782A" w14:textId="77777777" w:rsidR="00780555" w:rsidRDefault="00780555" w:rsidP="008D3DF0">
      <w:pPr>
        <w:rPr>
          <w:b/>
          <w:bCs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658"/>
        <w:gridCol w:w="1396"/>
        <w:gridCol w:w="1949"/>
        <w:gridCol w:w="1992"/>
        <w:gridCol w:w="1370"/>
      </w:tblGrid>
      <w:tr w:rsidR="003D07AA" w14:paraId="4FA57302" w14:textId="77777777" w:rsidTr="003D07AA">
        <w:tc>
          <w:tcPr>
            <w:tcW w:w="8365" w:type="dxa"/>
            <w:gridSpan w:val="5"/>
            <w:shd w:val="clear" w:color="auto" w:fill="C00000"/>
          </w:tcPr>
          <w:p w14:paraId="698FE086" w14:textId="77777777" w:rsidR="003D07AA" w:rsidRPr="00B6125F" w:rsidRDefault="003D07AA" w:rsidP="0074187B">
            <w:pPr>
              <w:jc w:val="center"/>
              <w:rPr>
                <w:b/>
                <w:bCs/>
              </w:rPr>
            </w:pPr>
            <w:r w:rsidRPr="00B6125F">
              <w:rPr>
                <w:b/>
                <w:bCs/>
              </w:rPr>
              <w:t>Summary Table</w:t>
            </w:r>
          </w:p>
        </w:tc>
      </w:tr>
      <w:tr w:rsidR="003D07AA" w14:paraId="438B3EF2" w14:textId="77777777" w:rsidTr="003D07AA">
        <w:trPr>
          <w:trHeight w:val="404"/>
        </w:trPr>
        <w:tc>
          <w:tcPr>
            <w:tcW w:w="1658" w:type="dxa"/>
          </w:tcPr>
          <w:p w14:paraId="1939F702" w14:textId="77777777" w:rsidR="003D07AA" w:rsidRPr="00B6125F" w:rsidRDefault="003D07AA" w:rsidP="0074187B">
            <w:pPr>
              <w:rPr>
                <w:b/>
                <w:bCs/>
              </w:rPr>
            </w:pPr>
            <w:r w:rsidRPr="004931EE">
              <w:rPr>
                <w:rFonts w:ascii="Lato" w:eastAsia="Times New Roman" w:hAnsi="Lato" w:cs="Times New Roman"/>
                <w:b/>
                <w:bCs/>
              </w:rPr>
              <w:t xml:space="preserve">Project title </w:t>
            </w:r>
          </w:p>
        </w:tc>
        <w:tc>
          <w:tcPr>
            <w:tcW w:w="6707" w:type="dxa"/>
            <w:gridSpan w:val="4"/>
          </w:tcPr>
          <w:p w14:paraId="5FC5D50D" w14:textId="77777777" w:rsidR="003D07AA" w:rsidRPr="00271AAE" w:rsidRDefault="003D07AA" w:rsidP="0074187B">
            <w:pPr>
              <w:rPr>
                <w:sz w:val="28"/>
                <w:szCs w:val="28"/>
              </w:rPr>
            </w:pPr>
            <w:r w:rsidRPr="00271AAE">
              <w:rPr>
                <w:sz w:val="28"/>
                <w:szCs w:val="28"/>
              </w:rPr>
              <w:t>NORAD – SAP - “Acting to protect children’s rights, now and for the future”</w:t>
            </w:r>
          </w:p>
        </w:tc>
      </w:tr>
      <w:tr w:rsidR="003D07AA" w14:paraId="2E564E75" w14:textId="77777777" w:rsidTr="003D07AA">
        <w:tc>
          <w:tcPr>
            <w:tcW w:w="1658" w:type="dxa"/>
          </w:tcPr>
          <w:p w14:paraId="4FFAA0FB" w14:textId="77777777" w:rsidR="003D07AA" w:rsidRPr="00B6125F" w:rsidRDefault="003D07AA" w:rsidP="007418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</w:t>
            </w:r>
            <w:r w:rsidRPr="00B6125F">
              <w:rPr>
                <w:b/>
                <w:bCs/>
              </w:rPr>
              <w:t>Title</w:t>
            </w:r>
          </w:p>
        </w:tc>
        <w:tc>
          <w:tcPr>
            <w:tcW w:w="6707" w:type="dxa"/>
            <w:gridSpan w:val="4"/>
          </w:tcPr>
          <w:p w14:paraId="5CFE9992" w14:textId="086ADA37" w:rsidR="003D07AA" w:rsidRPr="004D076F" w:rsidRDefault="00563DD4" w:rsidP="0074187B">
            <w:pPr>
              <w:rPr>
                <w:sz w:val="28"/>
                <w:szCs w:val="28"/>
              </w:rPr>
            </w:pPr>
            <w:r w:rsidRPr="00893D64">
              <w:rPr>
                <w:b/>
                <w:bCs/>
              </w:rPr>
              <w:t>Consultancy</w:t>
            </w:r>
            <w:r>
              <w:rPr>
                <w:b/>
                <w:bCs/>
              </w:rPr>
              <w:t xml:space="preserve"> service </w:t>
            </w:r>
            <w:r w:rsidRPr="00893D64">
              <w:rPr>
                <w:b/>
                <w:bCs/>
              </w:rPr>
              <w:t xml:space="preserve">for Climate and child </w:t>
            </w:r>
            <w:r w:rsidR="006B3A97">
              <w:rPr>
                <w:b/>
                <w:bCs/>
              </w:rPr>
              <w:t xml:space="preserve">protection </w:t>
            </w:r>
            <w:r w:rsidRPr="00893D64">
              <w:rPr>
                <w:b/>
                <w:bCs/>
              </w:rPr>
              <w:t>Risk</w:t>
            </w:r>
            <w:r>
              <w:rPr>
                <w:b/>
                <w:bCs/>
              </w:rPr>
              <w:t>s I</w:t>
            </w:r>
            <w:r w:rsidRPr="00893D64">
              <w:rPr>
                <w:b/>
                <w:bCs/>
              </w:rPr>
              <w:t xml:space="preserve">dentification under Anticipatory Action in </w:t>
            </w:r>
            <w:r>
              <w:rPr>
                <w:b/>
                <w:bCs/>
              </w:rPr>
              <w:t xml:space="preserve">16 </w:t>
            </w:r>
            <w:r w:rsidRPr="00893D64">
              <w:rPr>
                <w:b/>
                <w:bCs/>
              </w:rPr>
              <w:t>Schools</w:t>
            </w:r>
            <w:r>
              <w:rPr>
                <w:b/>
                <w:bCs/>
              </w:rPr>
              <w:t>- BN</w:t>
            </w:r>
          </w:p>
        </w:tc>
      </w:tr>
      <w:tr w:rsidR="003D07AA" w14:paraId="500D9F24" w14:textId="77777777" w:rsidTr="003D07AA">
        <w:tc>
          <w:tcPr>
            <w:tcW w:w="1658" w:type="dxa"/>
          </w:tcPr>
          <w:p w14:paraId="400C9EDE" w14:textId="77777777" w:rsidR="003D07AA" w:rsidRPr="00B6125F" w:rsidRDefault="003D07AA" w:rsidP="0074187B">
            <w:pPr>
              <w:rPr>
                <w:b/>
                <w:bCs/>
              </w:rPr>
            </w:pPr>
            <w:r w:rsidRPr="00B6125F">
              <w:rPr>
                <w:b/>
                <w:bCs/>
              </w:rPr>
              <w:t>Location</w:t>
            </w:r>
          </w:p>
        </w:tc>
        <w:tc>
          <w:tcPr>
            <w:tcW w:w="6707" w:type="dxa"/>
            <w:gridSpan w:val="4"/>
          </w:tcPr>
          <w:p w14:paraId="3F37859D" w14:textId="443E6333" w:rsidR="003D07AA" w:rsidRPr="00604784" w:rsidRDefault="00563DD4" w:rsidP="00741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</w:t>
            </w:r>
            <w:r w:rsidR="004C1AA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zine </w:t>
            </w:r>
            <w:r w:rsidR="00BD1394">
              <w:rPr>
                <w:sz w:val="28"/>
                <w:szCs w:val="28"/>
              </w:rPr>
              <w:t>-</w:t>
            </w:r>
            <w:r w:rsidR="003D07AA" w:rsidRPr="00604784">
              <w:rPr>
                <w:sz w:val="28"/>
                <w:szCs w:val="28"/>
              </w:rPr>
              <w:t xml:space="preserve"> Blue Nile State</w:t>
            </w:r>
          </w:p>
        </w:tc>
      </w:tr>
      <w:tr w:rsidR="003D07AA" w14:paraId="7C826248" w14:textId="77777777" w:rsidTr="003D07AA">
        <w:tc>
          <w:tcPr>
            <w:tcW w:w="1658" w:type="dxa"/>
          </w:tcPr>
          <w:p w14:paraId="359F1061" w14:textId="6A46974C" w:rsidR="003D07AA" w:rsidRPr="00B6125F" w:rsidRDefault="003D07AA" w:rsidP="0074187B">
            <w:pPr>
              <w:rPr>
                <w:b/>
                <w:bCs/>
              </w:rPr>
            </w:pPr>
            <w:r w:rsidRPr="00B6125F">
              <w:rPr>
                <w:b/>
                <w:bCs/>
              </w:rPr>
              <w:t>Duration</w:t>
            </w:r>
          </w:p>
        </w:tc>
        <w:tc>
          <w:tcPr>
            <w:tcW w:w="6707" w:type="dxa"/>
            <w:gridSpan w:val="4"/>
          </w:tcPr>
          <w:p w14:paraId="32442D16" w14:textId="22DBE1EF" w:rsidR="003D07AA" w:rsidRPr="00604784" w:rsidRDefault="00BD1394" w:rsidP="00741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16- 20</w:t>
            </w:r>
            <w:r w:rsidR="003D07AA" w:rsidRPr="00604784">
              <w:rPr>
                <w:sz w:val="28"/>
                <w:szCs w:val="28"/>
              </w:rPr>
              <w:t xml:space="preserve"> Days </w:t>
            </w:r>
          </w:p>
        </w:tc>
      </w:tr>
      <w:tr w:rsidR="003D07AA" w14:paraId="61FC168B" w14:textId="77777777" w:rsidTr="003D07AA">
        <w:tc>
          <w:tcPr>
            <w:tcW w:w="1658" w:type="dxa"/>
            <w:vMerge w:val="restart"/>
          </w:tcPr>
          <w:p w14:paraId="15EB6FE6" w14:textId="2944B4FB" w:rsidR="003D07AA" w:rsidRPr="00B6125F" w:rsidRDefault="003D07AA" w:rsidP="0074187B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0430890D" w14:textId="5E7EB25A" w:rsidR="003D07AA" w:rsidRDefault="003D07AA" w:rsidP="0074187B"/>
        </w:tc>
        <w:tc>
          <w:tcPr>
            <w:tcW w:w="1949" w:type="dxa"/>
          </w:tcPr>
          <w:p w14:paraId="55065791" w14:textId="17A2E02C" w:rsidR="003D07AA" w:rsidRDefault="003D07AA" w:rsidP="0074187B"/>
        </w:tc>
        <w:tc>
          <w:tcPr>
            <w:tcW w:w="1992" w:type="dxa"/>
          </w:tcPr>
          <w:p w14:paraId="6F5A3714" w14:textId="26CCBE07" w:rsidR="003D07AA" w:rsidRDefault="003D07AA" w:rsidP="0074187B"/>
        </w:tc>
        <w:tc>
          <w:tcPr>
            <w:tcW w:w="1370" w:type="dxa"/>
          </w:tcPr>
          <w:p w14:paraId="72FFFF8F" w14:textId="19F9FF88" w:rsidR="003D07AA" w:rsidRDefault="003D07AA" w:rsidP="0074187B">
            <w:pPr>
              <w:pStyle w:val="NoSpacing"/>
            </w:pPr>
          </w:p>
        </w:tc>
      </w:tr>
      <w:tr w:rsidR="003D07AA" w14:paraId="5D262B5B" w14:textId="77777777" w:rsidTr="003D07AA">
        <w:tc>
          <w:tcPr>
            <w:tcW w:w="1658" w:type="dxa"/>
            <w:vMerge/>
          </w:tcPr>
          <w:p w14:paraId="1EF9CD9B" w14:textId="77777777" w:rsidR="003D07AA" w:rsidRPr="00B6125F" w:rsidRDefault="003D07AA" w:rsidP="0074187B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7051777E" w14:textId="637F64A3" w:rsidR="003D07AA" w:rsidRDefault="003D07AA" w:rsidP="0074187B"/>
        </w:tc>
        <w:tc>
          <w:tcPr>
            <w:tcW w:w="1949" w:type="dxa"/>
          </w:tcPr>
          <w:p w14:paraId="006201DB" w14:textId="584829FB" w:rsidR="003D07AA" w:rsidRDefault="003D07AA" w:rsidP="0074187B"/>
        </w:tc>
        <w:tc>
          <w:tcPr>
            <w:tcW w:w="1992" w:type="dxa"/>
          </w:tcPr>
          <w:p w14:paraId="4AEDE362" w14:textId="4933A2A1" w:rsidR="003D07AA" w:rsidRDefault="003D07AA" w:rsidP="0074187B"/>
        </w:tc>
        <w:tc>
          <w:tcPr>
            <w:tcW w:w="1370" w:type="dxa"/>
          </w:tcPr>
          <w:p w14:paraId="2339029E" w14:textId="3D8D13A4" w:rsidR="003D07AA" w:rsidRPr="00967266" w:rsidRDefault="003D07AA" w:rsidP="0074187B">
            <w:pPr>
              <w:pStyle w:val="NoSpacing"/>
              <w:rPr>
                <w:rFonts w:ascii="Lato" w:eastAsia="Times New Roman" w:hAnsi="Lato"/>
                <w:sz w:val="24"/>
                <w:szCs w:val="24"/>
              </w:rPr>
            </w:pPr>
          </w:p>
        </w:tc>
      </w:tr>
    </w:tbl>
    <w:p w14:paraId="757C20CC" w14:textId="77777777" w:rsidR="00780555" w:rsidRPr="00893D64" w:rsidRDefault="00780555" w:rsidP="008D3DF0">
      <w:pPr>
        <w:rPr>
          <w:b/>
          <w:bCs/>
        </w:rPr>
      </w:pPr>
    </w:p>
    <w:p w14:paraId="1F892195" w14:textId="77777777" w:rsidR="00974711" w:rsidRPr="009C650A" w:rsidRDefault="00974711" w:rsidP="00974711">
      <w:pPr>
        <w:rPr>
          <w:b/>
          <w:bCs/>
        </w:rPr>
      </w:pPr>
      <w:r w:rsidRPr="009C650A">
        <w:rPr>
          <w:b/>
          <w:bCs/>
        </w:rPr>
        <w:t>1. Background</w:t>
      </w:r>
    </w:p>
    <w:p w14:paraId="6533D969" w14:textId="6C5693D9" w:rsidR="00072856" w:rsidRDefault="00974711" w:rsidP="00974711">
      <w:r>
        <w:t>Schools are increasingly exposed to climate</w:t>
      </w:r>
      <w:r>
        <w:rPr>
          <w:rFonts w:ascii="Cambria Math" w:hAnsi="Cambria Math" w:cs="Cambria Math"/>
        </w:rPr>
        <w:t>‑</w:t>
      </w:r>
      <w:r>
        <w:t xml:space="preserve">related and natural hazards such as floods, storms, </w:t>
      </w:r>
      <w:r w:rsidR="00072856">
        <w:t>heatwaves and</w:t>
      </w:r>
      <w:r>
        <w:t xml:space="preserve"> disease outbreaks. </w:t>
      </w:r>
    </w:p>
    <w:p w14:paraId="6ADA147D" w14:textId="7EC4F68F" w:rsidR="00974711" w:rsidRDefault="00974711" w:rsidP="00974711">
      <w:r>
        <w:t>Anticipatory Action (AA) aims to reduce the impact of predictable hazards by acting before a disaster occurs.</w:t>
      </w:r>
    </w:p>
    <w:p w14:paraId="5B630D63" w14:textId="6BC18CC5" w:rsidR="007A6E98" w:rsidRDefault="007A6E98" w:rsidP="00974711">
      <w:r>
        <w:t xml:space="preserve">NORAD project </w:t>
      </w:r>
      <w:r w:rsidR="0011594F">
        <w:t xml:space="preserve">is currently </w:t>
      </w:r>
      <w:r>
        <w:t>support</w:t>
      </w:r>
      <w:r w:rsidR="0011594F">
        <w:t xml:space="preserve">ing </w:t>
      </w:r>
      <w:r>
        <w:t>16 Schools</w:t>
      </w:r>
      <w:r w:rsidR="002D7A79">
        <w:t>/</w:t>
      </w:r>
      <w:r>
        <w:t xml:space="preserve">ALP </w:t>
      </w:r>
      <w:proofErr w:type="spellStart"/>
      <w:r>
        <w:t>centres</w:t>
      </w:r>
      <w:proofErr w:type="spellEnd"/>
      <w:r>
        <w:t xml:space="preserve"> </w:t>
      </w:r>
      <w:r w:rsidR="002D7A79">
        <w:t xml:space="preserve">at Damazine in Blue Nile region. </w:t>
      </w:r>
      <w:r w:rsidR="00EC51F4">
        <w:t xml:space="preserve">These schools are in high </w:t>
      </w:r>
      <w:r w:rsidR="004E08B6">
        <w:t>need</w:t>
      </w:r>
      <w:r w:rsidR="00EC51F4">
        <w:t xml:space="preserve"> </w:t>
      </w:r>
      <w:r w:rsidR="004C146B">
        <w:t>of support</w:t>
      </w:r>
      <w:r w:rsidR="001144C9">
        <w:t xml:space="preserve"> to mitigate the risks of the </w:t>
      </w:r>
      <w:r w:rsidR="00706BF1">
        <w:t xml:space="preserve">climate and weather during the rainy season, which could </w:t>
      </w:r>
      <w:r w:rsidR="00D633D5">
        <w:t xml:space="preserve">expose the children and </w:t>
      </w:r>
      <w:r w:rsidR="00AE4823">
        <w:t>adolescents</w:t>
      </w:r>
      <w:r w:rsidR="00D633D5">
        <w:t xml:space="preserve"> at these schools to </w:t>
      </w:r>
      <w:r w:rsidR="00BA1E84">
        <w:t xml:space="preserve">the risks of </w:t>
      </w:r>
    </w:p>
    <w:p w14:paraId="791A4FA7" w14:textId="6375F7B4" w:rsidR="00C86BAC" w:rsidRDefault="00974711" w:rsidP="007A6E98">
      <w:r>
        <w:t>To strengthen school preparedness, there is a need to conduct risk identification exercises with teachers, students, school management committees, and community representatives.</w:t>
      </w:r>
    </w:p>
    <w:p w14:paraId="2A35C3C5" w14:textId="680DBDAE" w:rsidR="00974711" w:rsidRDefault="00974711" w:rsidP="00EB7A15">
      <w:r>
        <w:t>A qualified facilitator is required to lead participatory sessions that help schools identify risks, analyze vulnerabilities, and prioritize anticipatory actions.</w:t>
      </w:r>
    </w:p>
    <w:p w14:paraId="6BA41489" w14:textId="296CAF88" w:rsidR="00974711" w:rsidRDefault="00CE400A" w:rsidP="00974711">
      <w:r>
        <w:t>2.</w:t>
      </w:r>
      <w:r w:rsidR="00974711" w:rsidRPr="001A15A1">
        <w:rPr>
          <w:b/>
          <w:bCs/>
        </w:rPr>
        <w:t xml:space="preserve">Objective of </w:t>
      </w:r>
      <w:r w:rsidR="001A15A1" w:rsidRPr="001A15A1">
        <w:rPr>
          <w:b/>
          <w:bCs/>
        </w:rPr>
        <w:t>this consultancy service</w:t>
      </w:r>
    </w:p>
    <w:p w14:paraId="0133161B" w14:textId="094CFFE0" w:rsidR="00974711" w:rsidRDefault="00974711" w:rsidP="002E062A">
      <w:r>
        <w:lastRenderedPageBreak/>
        <w:t>The main objective is to support schools in identifying, analyzing, and documenting risks that may affect students, teachers, and school infrastructure</w:t>
      </w:r>
      <w:r w:rsidR="00CE2E68">
        <w:t xml:space="preserve"> at </w:t>
      </w:r>
      <w:r w:rsidR="002E062A">
        <w:t>the 16 Alps supported by NORAD project</w:t>
      </w:r>
      <w:r>
        <w:t>, and to link these risks to anticipatory actions.</w:t>
      </w:r>
    </w:p>
    <w:p w14:paraId="7CD92299" w14:textId="4B7A3F51" w:rsidR="00974711" w:rsidRDefault="001C58B7" w:rsidP="00CE400A">
      <w:pPr>
        <w:rPr>
          <w:b/>
          <w:bCs/>
        </w:rPr>
      </w:pPr>
      <w:r>
        <w:rPr>
          <w:b/>
          <w:bCs/>
        </w:rPr>
        <w:t>2.1.</w:t>
      </w:r>
      <w:r w:rsidRPr="002E062A">
        <w:rPr>
          <w:b/>
          <w:bCs/>
        </w:rPr>
        <w:t xml:space="preserve"> Specific</w:t>
      </w:r>
      <w:r w:rsidR="00974711" w:rsidRPr="002E062A">
        <w:rPr>
          <w:b/>
          <w:bCs/>
        </w:rPr>
        <w:t xml:space="preserve"> objectives:</w:t>
      </w:r>
    </w:p>
    <w:p w14:paraId="73C865DC" w14:textId="16AFF2FD" w:rsidR="002B1727" w:rsidRDefault="00632ABD" w:rsidP="002B1727">
      <w:r w:rsidRPr="000F66A2">
        <w:t xml:space="preserve">The consultant is expected to carry out the </w:t>
      </w:r>
      <w:r w:rsidR="007A3819">
        <w:t xml:space="preserve">Child and climate </w:t>
      </w:r>
      <w:r w:rsidR="000F66A2" w:rsidRPr="000F66A2">
        <w:t>risk assessment and identification for the following schools</w:t>
      </w:r>
      <w:r w:rsidR="00AF0E63">
        <w:t xml:space="preserve">, which are used as ALP </w:t>
      </w:r>
      <w:proofErr w:type="spellStart"/>
      <w:r w:rsidR="00AF0E63">
        <w:t>centres</w:t>
      </w:r>
      <w:proofErr w:type="spellEnd"/>
      <w:r w:rsidR="00AF0E63">
        <w:t xml:space="preserve"> for </w:t>
      </w:r>
      <w:r w:rsidR="00161547">
        <w:t>supported students under NORAD projec</w:t>
      </w:r>
      <w:r w:rsidR="002B1727">
        <w:t>t to conduct the following:</w:t>
      </w:r>
    </w:p>
    <w:p w14:paraId="2EE275A3" w14:textId="77777777" w:rsidR="002B1727" w:rsidRDefault="002B1727" w:rsidP="002B1727">
      <w:r>
        <w:t>•</w:t>
      </w:r>
      <w:r>
        <w:tab/>
        <w:t>Facilitate participatory risk identification sessions in selected schools.</w:t>
      </w:r>
    </w:p>
    <w:p w14:paraId="40C7B074" w14:textId="77777777" w:rsidR="002B1727" w:rsidRDefault="002B1727" w:rsidP="002B1727">
      <w:r>
        <w:t>•</w:t>
      </w:r>
      <w:r>
        <w:tab/>
        <w:t>Map hazards, vulnerabilities, and capacities.</w:t>
      </w:r>
    </w:p>
    <w:p w14:paraId="47C91B7F" w14:textId="77777777" w:rsidR="002B1727" w:rsidRDefault="002B1727" w:rsidP="002B1727">
      <w:r>
        <w:t>•</w:t>
      </w:r>
      <w:r>
        <w:tab/>
        <w:t>Support schools to prioritize anticipatory actions.</w:t>
      </w:r>
    </w:p>
    <w:p w14:paraId="0930AA50" w14:textId="77777777" w:rsidR="002B1727" w:rsidRDefault="002B1727" w:rsidP="002B1727">
      <w:r>
        <w:t>•</w:t>
      </w:r>
      <w:r>
        <w:tab/>
        <w:t>Strengthening understanding of early warning information.</w:t>
      </w:r>
    </w:p>
    <w:p w14:paraId="46AC6F55" w14:textId="2B026401" w:rsidR="002B1727" w:rsidRDefault="002B1727" w:rsidP="002B1727">
      <w:r>
        <w:t>•</w:t>
      </w:r>
      <w:r>
        <w:tab/>
        <w:t>Produce a risk</w:t>
      </w:r>
      <w:r>
        <w:rPr>
          <w:rFonts w:ascii="Cambria Math" w:hAnsi="Cambria Math" w:cs="Cambria Math"/>
        </w:rPr>
        <w:t>‑</w:t>
      </w:r>
      <w:r>
        <w:t>identification summary for each school.</w:t>
      </w:r>
    </w:p>
    <w:p w14:paraId="54B9A08E" w14:textId="20DE7594" w:rsidR="00384C4E" w:rsidRPr="00384C4E" w:rsidRDefault="00384C4E" w:rsidP="002B1727">
      <w:pPr>
        <w:rPr>
          <w:b/>
          <w:bCs/>
        </w:rPr>
      </w:pPr>
      <w:r w:rsidRPr="00384C4E">
        <w:rPr>
          <w:b/>
          <w:bCs/>
        </w:rPr>
        <w:t xml:space="preserve">List of the schools/ALP </w:t>
      </w:r>
      <w:proofErr w:type="spellStart"/>
      <w:r w:rsidRPr="00384C4E">
        <w:rPr>
          <w:b/>
          <w:bCs/>
        </w:rPr>
        <w:t>centres</w:t>
      </w:r>
      <w:proofErr w:type="spellEnd"/>
      <w:r w:rsidRPr="00384C4E">
        <w:rPr>
          <w:b/>
          <w:bCs/>
        </w:rPr>
        <w:t>:</w:t>
      </w:r>
    </w:p>
    <w:tbl>
      <w:tblPr>
        <w:tblW w:w="7010" w:type="dxa"/>
        <w:tblLook w:val="04A0" w:firstRow="1" w:lastRow="0" w:firstColumn="1" w:lastColumn="0" w:noHBand="0" w:noVBand="1"/>
      </w:tblPr>
      <w:tblGrid>
        <w:gridCol w:w="840"/>
        <w:gridCol w:w="2380"/>
        <w:gridCol w:w="3790"/>
      </w:tblGrid>
      <w:tr w:rsidR="000F66A2" w:rsidRPr="000F66A2" w14:paraId="28CE4C3F" w14:textId="77777777" w:rsidTr="007A3819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bottom"/>
            <w:hideMark/>
          </w:tcPr>
          <w:p w14:paraId="7F625EA9" w14:textId="77777777" w:rsidR="000F66A2" w:rsidRPr="000F66A2" w:rsidRDefault="000F66A2" w:rsidP="000F6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D68236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School Name 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4E4587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Locality </w:t>
            </w:r>
          </w:p>
        </w:tc>
      </w:tr>
      <w:tr w:rsidR="000F66A2" w:rsidRPr="000F66A2" w14:paraId="4C1CCD35" w14:textId="77777777" w:rsidTr="007A3819">
        <w:trPr>
          <w:trHeight w:val="570"/>
        </w:trPr>
        <w:tc>
          <w:tcPr>
            <w:tcW w:w="7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0D4FDEA3" w14:textId="77777777" w:rsidR="000F66A2" w:rsidRPr="000F66A2" w:rsidRDefault="000F66A2" w:rsidP="000F6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F66A2" w:rsidRPr="000F66A2" w14:paraId="5F0CED4E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95ABA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A3757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Al-Ghafari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9A6B2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647CCA8E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89FE2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A4CB6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</w:t>
            </w:r>
            <w:proofErr w:type="spellStart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Qdisiya</w:t>
            </w:r>
            <w:proofErr w:type="spellEnd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DB105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1E7EBA7C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39D34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291C8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Al-Mak Hamdan Boys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F80D9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5B8EB5A3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4DC9E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94BB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Al-Shaimaa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6A32C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05A18478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B025D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5C96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Al-Sikka Hadid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AC62D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7BBCD265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639416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4D514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</w:t>
            </w:r>
            <w:proofErr w:type="spellStart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Tadamun</w:t>
            </w:r>
            <w:proofErr w:type="spellEnd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F25E0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76766D26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06C99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2DF74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Al-Thaw rah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355FC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5549D3CD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64B62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6BCC0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Al-</w:t>
            </w:r>
            <w:proofErr w:type="spellStart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Wunasab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3FCE7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006A01ED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F4DEC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D002B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Asma </w:t>
            </w:r>
            <w:proofErr w:type="spellStart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Bint</w:t>
            </w:r>
            <w:proofErr w:type="spellEnd"/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Abi Bakr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C5C9E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6B2119EF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8A37B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4A356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Dar Al-Salam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B19FE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3D8C0883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CDEFB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33872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Ismail Al-Wali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95197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003590CB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F70B1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0DBD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Khadijah Al-Kubra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30AE3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07C26CBB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0658F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4E011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Mahasin Mohammed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4A81E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7D97EF09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1EFA4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338C6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Mohammed Nour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E7BD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2ED6A29B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A2102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1315B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Yasin Mohammed Adam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F2B8E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  <w:tr w:rsidR="000F66A2" w:rsidRPr="000F66A2" w14:paraId="73274DB2" w14:textId="77777777" w:rsidTr="007A3819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8DABD" w14:textId="77777777" w:rsidR="000F66A2" w:rsidRPr="000F66A2" w:rsidRDefault="000F66A2" w:rsidP="000F6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C7AF8" w14:textId="77777777" w:rsidR="000F66A2" w:rsidRPr="000F66A2" w:rsidRDefault="000F66A2" w:rsidP="000F66A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Osama Bin Zaid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6751B" w14:textId="77777777" w:rsidR="000F66A2" w:rsidRPr="000F66A2" w:rsidRDefault="000F66A2" w:rsidP="000F66A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F66A2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Damazine</w:t>
            </w:r>
          </w:p>
        </w:tc>
      </w:tr>
    </w:tbl>
    <w:p w14:paraId="11F2E85C" w14:textId="77777777" w:rsidR="000F66A2" w:rsidRPr="00CE400A" w:rsidRDefault="000F66A2" w:rsidP="00CE400A">
      <w:pPr>
        <w:rPr>
          <w:b/>
          <w:bCs/>
        </w:rPr>
      </w:pPr>
    </w:p>
    <w:p w14:paraId="0C2E7905" w14:textId="7EA74581" w:rsidR="00974711" w:rsidRPr="00A93E61" w:rsidRDefault="00C55450" w:rsidP="00974711">
      <w:pPr>
        <w:rPr>
          <w:b/>
          <w:bCs/>
        </w:rPr>
      </w:pPr>
      <w:r>
        <w:rPr>
          <w:b/>
          <w:bCs/>
        </w:rPr>
        <w:t>3</w:t>
      </w:r>
      <w:r w:rsidR="00974711" w:rsidRPr="00A93E61">
        <w:rPr>
          <w:b/>
          <w:bCs/>
        </w:rPr>
        <w:t>. Scope of Work</w:t>
      </w:r>
    </w:p>
    <w:p w14:paraId="7763635D" w14:textId="777B5F07" w:rsidR="00974711" w:rsidRDefault="00974711" w:rsidP="00B672E4">
      <w:r>
        <w:t xml:space="preserve">The </w:t>
      </w:r>
      <w:r w:rsidR="007B4C3A">
        <w:t xml:space="preserve">consultant is required to </w:t>
      </w:r>
      <w:r w:rsidR="002E12DF">
        <w:t>conduct the risk assessment and ide</w:t>
      </w:r>
      <w:r w:rsidR="006B490C">
        <w:t>ntification as follows:</w:t>
      </w:r>
    </w:p>
    <w:p w14:paraId="3A6E5027" w14:textId="4C60DCE7" w:rsidR="00B672E4" w:rsidRDefault="00B672E4" w:rsidP="00B672E4">
      <w:pPr>
        <w:pStyle w:val="ListParagraph"/>
        <w:numPr>
          <w:ilvl w:val="0"/>
          <w:numId w:val="2"/>
        </w:numPr>
      </w:pPr>
      <w:r w:rsidRPr="00B672E4">
        <w:lastRenderedPageBreak/>
        <w:t>Coordinate with school leadership and project staff</w:t>
      </w:r>
      <w:r>
        <w:t>.</w:t>
      </w:r>
    </w:p>
    <w:p w14:paraId="6F05391A" w14:textId="3B07566C" w:rsidR="00974711" w:rsidRDefault="006D4888" w:rsidP="00A05152">
      <w:pPr>
        <w:pStyle w:val="ListParagraph"/>
        <w:numPr>
          <w:ilvl w:val="0"/>
          <w:numId w:val="2"/>
        </w:numPr>
      </w:pPr>
      <w:r>
        <w:t xml:space="preserve">Conduct </w:t>
      </w:r>
      <w:r w:rsidR="00974711">
        <w:t>Vulnerability and capacity assessment</w:t>
      </w:r>
      <w:r>
        <w:t xml:space="preserve"> using </w:t>
      </w:r>
      <w:r w:rsidR="00B672E4">
        <w:t>hazard mapping tools.</w:t>
      </w:r>
    </w:p>
    <w:p w14:paraId="125033E6" w14:textId="238B322C" w:rsidR="00974711" w:rsidRDefault="00974711" w:rsidP="00B7747E">
      <w:pPr>
        <w:pStyle w:val="ListParagraph"/>
        <w:numPr>
          <w:ilvl w:val="0"/>
          <w:numId w:val="2"/>
        </w:numPr>
      </w:pPr>
      <w:r>
        <w:t>Ensure materials are child</w:t>
      </w:r>
      <w:r w:rsidRPr="00A93E61">
        <w:rPr>
          <w:rFonts w:ascii="Cambria Math" w:hAnsi="Cambria Math" w:cs="Cambria Math"/>
        </w:rPr>
        <w:t>‑</w:t>
      </w:r>
      <w:r>
        <w:t>friendly and inclusive for children with disabilities</w:t>
      </w:r>
      <w:r w:rsidR="00B672E4">
        <w:t>.</w:t>
      </w:r>
    </w:p>
    <w:p w14:paraId="20E3BB0D" w14:textId="1F482584" w:rsidR="00974711" w:rsidRDefault="00974711" w:rsidP="00B7747E">
      <w:pPr>
        <w:pStyle w:val="ListParagraph"/>
        <w:numPr>
          <w:ilvl w:val="0"/>
          <w:numId w:val="7"/>
        </w:numPr>
      </w:pPr>
      <w:r>
        <w:t>Understanding local hazards and triggers</w:t>
      </w:r>
      <w:r w:rsidR="00B7747E">
        <w:t>.</w:t>
      </w:r>
    </w:p>
    <w:p w14:paraId="19514460" w14:textId="2E1079A8" w:rsidR="00974711" w:rsidRDefault="00974711" w:rsidP="00B7747E">
      <w:pPr>
        <w:pStyle w:val="ListParagraph"/>
        <w:numPr>
          <w:ilvl w:val="0"/>
          <w:numId w:val="7"/>
        </w:numPr>
      </w:pPr>
      <w:r>
        <w:t>Identifying school</w:t>
      </w:r>
      <w:r w:rsidRPr="00435E61">
        <w:rPr>
          <w:rFonts w:ascii="Cambria Math" w:hAnsi="Cambria Math" w:cs="Cambria Math"/>
        </w:rPr>
        <w:t>‑</w:t>
      </w:r>
      <w:r>
        <w:t>specific risks (infrastructure, safety, health, access, protection)</w:t>
      </w:r>
      <w:r w:rsidR="00B672E4">
        <w:t>.</w:t>
      </w:r>
    </w:p>
    <w:p w14:paraId="19A71D49" w14:textId="0AE590BD" w:rsidR="00974711" w:rsidRDefault="00974711" w:rsidP="00B7747E">
      <w:pPr>
        <w:pStyle w:val="ListParagraph"/>
        <w:numPr>
          <w:ilvl w:val="0"/>
          <w:numId w:val="7"/>
        </w:numPr>
      </w:pPr>
      <w:r>
        <w:t>Mapping vulnerable groups (children with disabilities, girls, younger children, etc.)</w:t>
      </w:r>
    </w:p>
    <w:p w14:paraId="1FCD3F74" w14:textId="0519787E" w:rsidR="00974711" w:rsidRDefault="00974711" w:rsidP="00B7747E">
      <w:pPr>
        <w:pStyle w:val="ListParagraph"/>
        <w:numPr>
          <w:ilvl w:val="0"/>
          <w:numId w:val="7"/>
        </w:numPr>
      </w:pPr>
      <w:r>
        <w:t>Analyzing risk levels (likelihood × impact)</w:t>
      </w:r>
    </w:p>
    <w:p w14:paraId="6EFE9E5E" w14:textId="56923E65" w:rsidR="00974711" w:rsidRDefault="00974711" w:rsidP="00755A15">
      <w:pPr>
        <w:pStyle w:val="ListParagraph"/>
        <w:numPr>
          <w:ilvl w:val="0"/>
          <w:numId w:val="7"/>
        </w:numPr>
      </w:pPr>
      <w:r>
        <w:t>Identifying feasible anticipatory actions (before, during, after early warning)</w:t>
      </w:r>
    </w:p>
    <w:p w14:paraId="43723614" w14:textId="39361E6A" w:rsidR="001D0E9D" w:rsidRDefault="00974711" w:rsidP="00EC5A1A">
      <w:pPr>
        <w:pStyle w:val="ListParagraph"/>
        <w:numPr>
          <w:ilvl w:val="0"/>
          <w:numId w:val="7"/>
        </w:numPr>
      </w:pPr>
      <w:r>
        <w:t>Documenting findings with school teams</w:t>
      </w:r>
      <w:r w:rsidR="0040108B">
        <w:t>.</w:t>
      </w:r>
    </w:p>
    <w:p w14:paraId="5265D2A1" w14:textId="77777777" w:rsidR="001D0E9D" w:rsidRDefault="00974711" w:rsidP="001D0E9D">
      <w:pPr>
        <w:rPr>
          <w:b/>
          <w:bCs/>
        </w:rPr>
      </w:pPr>
      <w:r w:rsidRPr="00DE2C84">
        <w:rPr>
          <w:b/>
          <w:bCs/>
        </w:rPr>
        <w:t>Method</w:t>
      </w:r>
      <w:r w:rsidR="00DE2C84" w:rsidRPr="00DE2C84">
        <w:rPr>
          <w:b/>
          <w:bCs/>
        </w:rPr>
        <w:t>olog</w:t>
      </w:r>
      <w:r w:rsidR="001D0E9D">
        <w:rPr>
          <w:b/>
          <w:bCs/>
        </w:rPr>
        <w:t>ies:</w:t>
      </w:r>
    </w:p>
    <w:p w14:paraId="572236D5" w14:textId="41BD1D2A" w:rsidR="00974711" w:rsidRDefault="00974711" w:rsidP="00BA0BD3">
      <w:pPr>
        <w:pStyle w:val="ListParagraph"/>
        <w:numPr>
          <w:ilvl w:val="0"/>
          <w:numId w:val="3"/>
        </w:numPr>
      </w:pPr>
      <w:r>
        <w:t>Hazard mapping</w:t>
      </w:r>
      <w:r w:rsidR="00BA0BD3">
        <w:t>.</w:t>
      </w:r>
    </w:p>
    <w:p w14:paraId="14F53128" w14:textId="79703743" w:rsidR="00974711" w:rsidRDefault="00974711" w:rsidP="00BA0BD3">
      <w:pPr>
        <w:pStyle w:val="ListParagraph"/>
        <w:numPr>
          <w:ilvl w:val="0"/>
          <w:numId w:val="3"/>
        </w:numPr>
      </w:pPr>
      <w:r>
        <w:t xml:space="preserve">Focus </w:t>
      </w:r>
      <w:r w:rsidR="00EC5A1A">
        <w:t xml:space="preserve">groups </w:t>
      </w:r>
      <w:r w:rsidR="00EC5A1A" w:rsidRPr="008238D7">
        <w:t>discussions</w:t>
      </w:r>
      <w:r w:rsidR="008238D7">
        <w:t xml:space="preserve"> with</w:t>
      </w:r>
      <w:r>
        <w:t xml:space="preserve"> students</w:t>
      </w:r>
      <w:r w:rsidR="00DE2C84">
        <w:t>.</w:t>
      </w:r>
    </w:p>
    <w:p w14:paraId="4266E535" w14:textId="50720705" w:rsidR="00974711" w:rsidRDefault="00974711" w:rsidP="00BA0BD3">
      <w:pPr>
        <w:pStyle w:val="ListParagraph"/>
        <w:numPr>
          <w:ilvl w:val="0"/>
          <w:numId w:val="3"/>
        </w:numPr>
      </w:pPr>
      <w:r>
        <w:t>Walk</w:t>
      </w:r>
      <w:r w:rsidRPr="00BA0BD3">
        <w:rPr>
          <w:rFonts w:ascii="Cambria Math" w:hAnsi="Cambria Math" w:cs="Cambria Math"/>
        </w:rPr>
        <w:t>‑</w:t>
      </w:r>
      <w:r>
        <w:t>through risk assessments of school grounds</w:t>
      </w:r>
      <w:r w:rsidR="00D816AE">
        <w:t>.</w:t>
      </w:r>
    </w:p>
    <w:p w14:paraId="0073EB9D" w14:textId="77777777" w:rsidR="00974711" w:rsidRDefault="00974711" w:rsidP="00974711">
      <w:r>
        <w:t>3.3</w:t>
      </w:r>
      <w:r w:rsidRPr="00BA0BD3">
        <w:rPr>
          <w:b/>
          <w:bCs/>
        </w:rPr>
        <w:t xml:space="preserve"> Reporting</w:t>
      </w:r>
    </w:p>
    <w:p w14:paraId="1B6833C7" w14:textId="0EFFF5DF" w:rsidR="00974711" w:rsidRDefault="00974711" w:rsidP="00BA0BD3">
      <w:pPr>
        <w:pStyle w:val="ListParagraph"/>
        <w:numPr>
          <w:ilvl w:val="0"/>
          <w:numId w:val="4"/>
        </w:numPr>
      </w:pPr>
      <w:r>
        <w:t>Prepare a risk</w:t>
      </w:r>
      <w:r w:rsidRPr="00BA0BD3">
        <w:rPr>
          <w:rFonts w:ascii="Cambria Math" w:hAnsi="Cambria Math" w:cs="Cambria Math"/>
        </w:rPr>
        <w:t>‑</w:t>
      </w:r>
      <w:r>
        <w:t>identification summary for each school</w:t>
      </w:r>
    </w:p>
    <w:p w14:paraId="47F73D11" w14:textId="7A4B1F68" w:rsidR="00974711" w:rsidRDefault="00974711" w:rsidP="00BA0BD3">
      <w:pPr>
        <w:pStyle w:val="ListParagraph"/>
        <w:numPr>
          <w:ilvl w:val="0"/>
          <w:numId w:val="4"/>
        </w:numPr>
      </w:pPr>
      <w:r>
        <w:t>Provide a consolidated report including:</w:t>
      </w:r>
    </w:p>
    <w:p w14:paraId="45D1940A" w14:textId="162A7733" w:rsidR="00974711" w:rsidRDefault="00974711" w:rsidP="00BA0BD3">
      <w:pPr>
        <w:pStyle w:val="ListParagraph"/>
        <w:numPr>
          <w:ilvl w:val="0"/>
          <w:numId w:val="4"/>
        </w:numPr>
      </w:pPr>
      <w:r>
        <w:t>Key risks identified</w:t>
      </w:r>
    </w:p>
    <w:p w14:paraId="3D1DAE69" w14:textId="7462404C" w:rsidR="00974711" w:rsidRDefault="00974711" w:rsidP="00BA0BD3">
      <w:pPr>
        <w:pStyle w:val="ListParagraph"/>
        <w:numPr>
          <w:ilvl w:val="0"/>
          <w:numId w:val="4"/>
        </w:numPr>
      </w:pPr>
      <w:r>
        <w:t>Priority anticipatory actio</w:t>
      </w:r>
      <w:r w:rsidR="00D816AE">
        <w:t>n</w:t>
      </w:r>
      <w:r w:rsidR="005700D7">
        <w:t>.</w:t>
      </w:r>
    </w:p>
    <w:p w14:paraId="6A6AD4BC" w14:textId="78499CFE" w:rsidR="00974711" w:rsidRDefault="00974711" w:rsidP="00D816AE">
      <w:pPr>
        <w:pStyle w:val="ListParagraph"/>
        <w:numPr>
          <w:ilvl w:val="0"/>
          <w:numId w:val="4"/>
        </w:numPr>
      </w:pPr>
      <w:r>
        <w:t>Recommendations for follow</w:t>
      </w:r>
      <w:r w:rsidRPr="00BA0BD3">
        <w:rPr>
          <w:rFonts w:ascii="Cambria Math" w:hAnsi="Cambria Math" w:cs="Cambria Math"/>
        </w:rPr>
        <w:t>‑</w:t>
      </w:r>
      <w:r>
        <w:t>up</w:t>
      </w:r>
      <w:r w:rsidR="005700D7">
        <w:t>.</w:t>
      </w:r>
    </w:p>
    <w:p w14:paraId="1F701A2C" w14:textId="77777777" w:rsidR="00974711" w:rsidRPr="00BA0BD3" w:rsidRDefault="00974711" w:rsidP="00974711">
      <w:pPr>
        <w:rPr>
          <w:b/>
          <w:bCs/>
        </w:rPr>
      </w:pPr>
      <w:r w:rsidRPr="00BA0BD3">
        <w:rPr>
          <w:b/>
          <w:bCs/>
        </w:rPr>
        <w:t>4. Deliverables</w:t>
      </w:r>
    </w:p>
    <w:p w14:paraId="2A41DDF5" w14:textId="241ED843" w:rsidR="00974711" w:rsidRDefault="00974711" w:rsidP="00BA0BD3">
      <w:pPr>
        <w:pStyle w:val="ListParagraph"/>
        <w:numPr>
          <w:ilvl w:val="0"/>
          <w:numId w:val="5"/>
        </w:numPr>
      </w:pPr>
      <w:r>
        <w:t>Session plan and facilitation tools</w:t>
      </w:r>
      <w:r w:rsidR="008031E7">
        <w:t>.</w:t>
      </w:r>
    </w:p>
    <w:p w14:paraId="0734B33E" w14:textId="54208C58" w:rsidR="00974711" w:rsidRDefault="00974711" w:rsidP="00BA0BD3">
      <w:pPr>
        <w:pStyle w:val="ListParagraph"/>
        <w:numPr>
          <w:ilvl w:val="0"/>
          <w:numId w:val="5"/>
        </w:numPr>
      </w:pPr>
      <w:r>
        <w:t>Completed risk</w:t>
      </w:r>
      <w:r w:rsidRPr="00BA0BD3">
        <w:rPr>
          <w:rFonts w:ascii="Cambria Math" w:hAnsi="Cambria Math" w:cs="Cambria Math"/>
        </w:rPr>
        <w:t>‑</w:t>
      </w:r>
      <w:r>
        <w:t>identification exercises in all targeted schools</w:t>
      </w:r>
    </w:p>
    <w:p w14:paraId="518816B7" w14:textId="7D85DA75" w:rsidR="00974711" w:rsidRDefault="00974711" w:rsidP="00BA0BD3">
      <w:pPr>
        <w:pStyle w:val="ListParagraph"/>
        <w:numPr>
          <w:ilvl w:val="0"/>
          <w:numId w:val="5"/>
        </w:numPr>
      </w:pPr>
      <w:r>
        <w:t>Individual school risk</w:t>
      </w:r>
      <w:r w:rsidRPr="00BA0BD3">
        <w:rPr>
          <w:rFonts w:ascii="Cambria Math" w:hAnsi="Cambria Math" w:cs="Cambria Math"/>
        </w:rPr>
        <w:t>‑</w:t>
      </w:r>
      <w:r>
        <w:t>identification summaries</w:t>
      </w:r>
      <w:r w:rsidR="001D3182">
        <w:t>.</w:t>
      </w:r>
    </w:p>
    <w:p w14:paraId="5CE1C52B" w14:textId="131AA74E" w:rsidR="00974711" w:rsidRDefault="00974711" w:rsidP="007432DC">
      <w:pPr>
        <w:pStyle w:val="ListParagraph"/>
        <w:numPr>
          <w:ilvl w:val="0"/>
          <w:numId w:val="5"/>
        </w:numPr>
      </w:pPr>
      <w:r>
        <w:t>Final consolidated report</w:t>
      </w:r>
      <w:r w:rsidR="001D3182">
        <w:t>.</w:t>
      </w:r>
    </w:p>
    <w:p w14:paraId="5C55FD94" w14:textId="1E7ED8D5" w:rsidR="00974711" w:rsidRPr="00BA0BD3" w:rsidRDefault="00974711" w:rsidP="00974711">
      <w:pPr>
        <w:rPr>
          <w:b/>
          <w:bCs/>
        </w:rPr>
      </w:pPr>
      <w:r w:rsidRPr="00BA0BD3">
        <w:rPr>
          <w:b/>
          <w:bCs/>
        </w:rPr>
        <w:t xml:space="preserve">5. Duration of </w:t>
      </w:r>
      <w:r w:rsidR="00BA0BD3">
        <w:rPr>
          <w:b/>
          <w:bCs/>
        </w:rPr>
        <w:t>consultancy</w:t>
      </w:r>
    </w:p>
    <w:p w14:paraId="689E9731" w14:textId="3C676B43" w:rsidR="00974711" w:rsidRDefault="00974711" w:rsidP="007900F2">
      <w:r>
        <w:t xml:space="preserve">The </w:t>
      </w:r>
      <w:r w:rsidR="00BA0BD3">
        <w:t xml:space="preserve">consultancy </w:t>
      </w:r>
      <w:r w:rsidR="007432DC">
        <w:t>service is</w:t>
      </w:r>
      <w:r>
        <w:t xml:space="preserve"> </w:t>
      </w:r>
      <w:r w:rsidR="00881F2B">
        <w:t xml:space="preserve">planned to be conducted </w:t>
      </w:r>
      <w:r w:rsidR="00500204">
        <w:t>in 16</w:t>
      </w:r>
      <w:r>
        <w:t>–</w:t>
      </w:r>
      <w:r w:rsidR="00500204">
        <w:t>20 days</w:t>
      </w:r>
      <w:r w:rsidR="00D87D6D">
        <w:t xml:space="preserve"> for </w:t>
      </w:r>
      <w:r w:rsidR="00C033D9">
        <w:t xml:space="preserve">the 16 </w:t>
      </w:r>
      <w:r>
        <w:t>schools.</w:t>
      </w:r>
    </w:p>
    <w:p w14:paraId="271B3388" w14:textId="340A2FE3" w:rsidR="00974711" w:rsidRPr="007900F2" w:rsidRDefault="00974711" w:rsidP="00974711">
      <w:pPr>
        <w:rPr>
          <w:b/>
          <w:bCs/>
        </w:rPr>
      </w:pPr>
      <w:r w:rsidRPr="007900F2">
        <w:rPr>
          <w:b/>
          <w:bCs/>
        </w:rPr>
        <w:t>6. Required Qualifications</w:t>
      </w:r>
      <w:r w:rsidR="006E60ED">
        <w:rPr>
          <w:b/>
          <w:bCs/>
        </w:rPr>
        <w:t>/specifications</w:t>
      </w:r>
    </w:p>
    <w:p w14:paraId="35833AE5" w14:textId="71227288" w:rsidR="00974711" w:rsidRDefault="005C6932" w:rsidP="007900F2">
      <w:pPr>
        <w:pStyle w:val="ListParagraph"/>
        <w:numPr>
          <w:ilvl w:val="0"/>
          <w:numId w:val="6"/>
        </w:numPr>
      </w:pPr>
      <w:r>
        <w:t>Master’s degree</w:t>
      </w:r>
      <w:r w:rsidR="00974711">
        <w:t xml:space="preserve"> in Disaster Risk Reduction, Climate Science, Education, or related field</w:t>
      </w:r>
    </w:p>
    <w:p w14:paraId="26143D19" w14:textId="2E374812" w:rsidR="00974711" w:rsidRDefault="00974711" w:rsidP="007900F2">
      <w:pPr>
        <w:pStyle w:val="ListParagraph"/>
        <w:numPr>
          <w:ilvl w:val="0"/>
          <w:numId w:val="6"/>
        </w:numPr>
      </w:pPr>
      <w:r>
        <w:t xml:space="preserve">Experience in </w:t>
      </w:r>
      <w:r w:rsidR="005C6932">
        <w:t xml:space="preserve">conducting </w:t>
      </w:r>
      <w:r w:rsidR="00105403">
        <w:t>research,</w:t>
      </w:r>
      <w:r w:rsidR="00A07F0B">
        <w:t xml:space="preserve"> data analysis, </w:t>
      </w:r>
    </w:p>
    <w:p w14:paraId="4002146D" w14:textId="13D58E5F" w:rsidR="00974711" w:rsidRDefault="00974711" w:rsidP="007900F2">
      <w:pPr>
        <w:pStyle w:val="ListParagraph"/>
        <w:numPr>
          <w:ilvl w:val="0"/>
          <w:numId w:val="6"/>
        </w:numPr>
      </w:pPr>
      <w:r>
        <w:t>Strong facilitation skills with children and adults</w:t>
      </w:r>
      <w:r w:rsidR="00435E61">
        <w:t>.</w:t>
      </w:r>
    </w:p>
    <w:p w14:paraId="7E11F8A2" w14:textId="02C384F1" w:rsidR="00974711" w:rsidRDefault="00974711" w:rsidP="007900F2">
      <w:pPr>
        <w:pStyle w:val="ListParagraph"/>
        <w:numPr>
          <w:ilvl w:val="0"/>
          <w:numId w:val="6"/>
        </w:numPr>
      </w:pPr>
      <w:r>
        <w:t>Knowledge of inclusive and child</w:t>
      </w:r>
      <w:r w:rsidRPr="007900F2">
        <w:rPr>
          <w:rFonts w:ascii="Cambria Math" w:hAnsi="Cambria Math" w:cs="Cambria Math"/>
        </w:rPr>
        <w:t>‑</w:t>
      </w:r>
      <w:r>
        <w:t>friendly methodologies</w:t>
      </w:r>
      <w:r w:rsidR="00435E61">
        <w:t>.</w:t>
      </w:r>
    </w:p>
    <w:p w14:paraId="127C6B7F" w14:textId="457D78A5" w:rsidR="00974711" w:rsidRDefault="00974711" w:rsidP="007900F2">
      <w:pPr>
        <w:pStyle w:val="ListParagraph"/>
        <w:numPr>
          <w:ilvl w:val="0"/>
          <w:numId w:val="6"/>
        </w:numPr>
      </w:pPr>
      <w:r>
        <w:t>Ability to produce clear and concise reports</w:t>
      </w:r>
      <w:r w:rsidR="00105403">
        <w:t>.</w:t>
      </w:r>
    </w:p>
    <w:p w14:paraId="084500E1" w14:textId="30CAE03F" w:rsidR="00974711" w:rsidRDefault="00F071BD" w:rsidP="008031E7">
      <w:pPr>
        <w:pStyle w:val="ListParagraph"/>
        <w:numPr>
          <w:ilvl w:val="0"/>
          <w:numId w:val="6"/>
        </w:numPr>
      </w:pPr>
      <w:r>
        <w:lastRenderedPageBreak/>
        <w:t xml:space="preserve">Capable of </w:t>
      </w:r>
      <w:r w:rsidR="008031E7">
        <w:t xml:space="preserve">using </w:t>
      </w:r>
      <w:r w:rsidR="008031E7" w:rsidRPr="00060473">
        <w:t>risk</w:t>
      </w:r>
      <w:r w:rsidR="00060473" w:rsidRPr="00060473">
        <w:t xml:space="preserve"> methodologies, </w:t>
      </w:r>
      <w:r w:rsidR="00435E61" w:rsidRPr="00060473">
        <w:t>evaluating</w:t>
      </w:r>
      <w:r w:rsidR="00060473" w:rsidRPr="00060473">
        <w:t xml:space="preserve"> risk processes, and communicate risk controls</w:t>
      </w:r>
      <w:r>
        <w:t>.</w:t>
      </w:r>
    </w:p>
    <w:p w14:paraId="5A3F6BBD" w14:textId="77777777" w:rsidR="00974711" w:rsidRDefault="00974711" w:rsidP="00974711">
      <w:r>
        <w:t xml:space="preserve">9. </w:t>
      </w:r>
      <w:r w:rsidRPr="008031E7">
        <w:rPr>
          <w:b/>
          <w:bCs/>
        </w:rPr>
        <w:t>Payment Terms</w:t>
      </w:r>
    </w:p>
    <w:p w14:paraId="24E41BCC" w14:textId="713AAA8A" w:rsidR="00615D7D" w:rsidRDefault="00974711" w:rsidP="00974711">
      <w:r>
        <w:t>Payment will be made upon completion of all deliverables and approval of the final report</w:t>
      </w:r>
    </w:p>
    <w:sectPr w:rsidR="00615D7D" w:rsidSect="00A87D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F14"/>
    <w:multiLevelType w:val="hybridMultilevel"/>
    <w:tmpl w:val="E3A8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443A"/>
    <w:multiLevelType w:val="hybridMultilevel"/>
    <w:tmpl w:val="4D46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060FA"/>
    <w:multiLevelType w:val="hybridMultilevel"/>
    <w:tmpl w:val="26C2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E21"/>
    <w:multiLevelType w:val="hybridMultilevel"/>
    <w:tmpl w:val="1DCA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E3FF0"/>
    <w:multiLevelType w:val="hybridMultilevel"/>
    <w:tmpl w:val="50FC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B71FC"/>
    <w:multiLevelType w:val="hybridMultilevel"/>
    <w:tmpl w:val="4600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9505C"/>
    <w:multiLevelType w:val="hybridMultilevel"/>
    <w:tmpl w:val="4E7E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43297">
    <w:abstractNumId w:val="0"/>
  </w:num>
  <w:num w:numId="2" w16cid:durableId="1781878256">
    <w:abstractNumId w:val="1"/>
  </w:num>
  <w:num w:numId="3" w16cid:durableId="12659800">
    <w:abstractNumId w:val="4"/>
  </w:num>
  <w:num w:numId="4" w16cid:durableId="187065940">
    <w:abstractNumId w:val="6"/>
  </w:num>
  <w:num w:numId="5" w16cid:durableId="1584608824">
    <w:abstractNumId w:val="2"/>
  </w:num>
  <w:num w:numId="6" w16cid:durableId="1108234910">
    <w:abstractNumId w:val="3"/>
  </w:num>
  <w:num w:numId="7" w16cid:durableId="1224606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7D"/>
    <w:rsid w:val="00054E30"/>
    <w:rsid w:val="00060473"/>
    <w:rsid w:val="00067919"/>
    <w:rsid w:val="00072856"/>
    <w:rsid w:val="00080031"/>
    <w:rsid w:val="00094EAC"/>
    <w:rsid w:val="000E7034"/>
    <w:rsid w:val="000F45F7"/>
    <w:rsid w:val="000F66A2"/>
    <w:rsid w:val="00105403"/>
    <w:rsid w:val="001144C9"/>
    <w:rsid w:val="0011594F"/>
    <w:rsid w:val="00161547"/>
    <w:rsid w:val="001A15A1"/>
    <w:rsid w:val="001C58B7"/>
    <w:rsid w:val="001D0E9D"/>
    <w:rsid w:val="001D3182"/>
    <w:rsid w:val="0021234F"/>
    <w:rsid w:val="00273824"/>
    <w:rsid w:val="00282DE5"/>
    <w:rsid w:val="00292AE7"/>
    <w:rsid w:val="002B1727"/>
    <w:rsid w:val="002D7A79"/>
    <w:rsid w:val="002E062A"/>
    <w:rsid w:val="002E12DF"/>
    <w:rsid w:val="0030513E"/>
    <w:rsid w:val="00344E81"/>
    <w:rsid w:val="00355A24"/>
    <w:rsid w:val="00356062"/>
    <w:rsid w:val="00383261"/>
    <w:rsid w:val="00384C4E"/>
    <w:rsid w:val="003D07AA"/>
    <w:rsid w:val="0040108B"/>
    <w:rsid w:val="00435E61"/>
    <w:rsid w:val="00441E89"/>
    <w:rsid w:val="004C146B"/>
    <w:rsid w:val="004C1AA5"/>
    <w:rsid w:val="004C7769"/>
    <w:rsid w:val="004D1D9B"/>
    <w:rsid w:val="004D726E"/>
    <w:rsid w:val="004E08B6"/>
    <w:rsid w:val="00500204"/>
    <w:rsid w:val="00562C76"/>
    <w:rsid w:val="00563DD4"/>
    <w:rsid w:val="005642EB"/>
    <w:rsid w:val="005700D7"/>
    <w:rsid w:val="005B4543"/>
    <w:rsid w:val="005C6932"/>
    <w:rsid w:val="00615D7D"/>
    <w:rsid w:val="00632ABD"/>
    <w:rsid w:val="006B2F35"/>
    <w:rsid w:val="006B3A97"/>
    <w:rsid w:val="006B490C"/>
    <w:rsid w:val="006D4888"/>
    <w:rsid w:val="006E60ED"/>
    <w:rsid w:val="00706BF1"/>
    <w:rsid w:val="00723598"/>
    <w:rsid w:val="007432DC"/>
    <w:rsid w:val="00755A15"/>
    <w:rsid w:val="00772135"/>
    <w:rsid w:val="00780555"/>
    <w:rsid w:val="00783025"/>
    <w:rsid w:val="007900F2"/>
    <w:rsid w:val="007A3819"/>
    <w:rsid w:val="007A6E98"/>
    <w:rsid w:val="007B4C3A"/>
    <w:rsid w:val="008031E7"/>
    <w:rsid w:val="008238D7"/>
    <w:rsid w:val="00881F2B"/>
    <w:rsid w:val="00893D64"/>
    <w:rsid w:val="008D3DF0"/>
    <w:rsid w:val="00950B0B"/>
    <w:rsid w:val="00974711"/>
    <w:rsid w:val="009C650A"/>
    <w:rsid w:val="009D5B0A"/>
    <w:rsid w:val="00A05152"/>
    <w:rsid w:val="00A07F0B"/>
    <w:rsid w:val="00A43339"/>
    <w:rsid w:val="00A87DC7"/>
    <w:rsid w:val="00A93E61"/>
    <w:rsid w:val="00AE4823"/>
    <w:rsid w:val="00AF0E63"/>
    <w:rsid w:val="00B16561"/>
    <w:rsid w:val="00B435F5"/>
    <w:rsid w:val="00B672E4"/>
    <w:rsid w:val="00B7747E"/>
    <w:rsid w:val="00B77EDA"/>
    <w:rsid w:val="00BA0BD3"/>
    <w:rsid w:val="00BA1E84"/>
    <w:rsid w:val="00BD1394"/>
    <w:rsid w:val="00C033D9"/>
    <w:rsid w:val="00C24565"/>
    <w:rsid w:val="00C3132D"/>
    <w:rsid w:val="00C55450"/>
    <w:rsid w:val="00C86BAC"/>
    <w:rsid w:val="00CE2E68"/>
    <w:rsid w:val="00CE400A"/>
    <w:rsid w:val="00D20276"/>
    <w:rsid w:val="00D633D5"/>
    <w:rsid w:val="00D816AE"/>
    <w:rsid w:val="00D87D6D"/>
    <w:rsid w:val="00DE2C84"/>
    <w:rsid w:val="00E80F22"/>
    <w:rsid w:val="00EB7A15"/>
    <w:rsid w:val="00EC4E4F"/>
    <w:rsid w:val="00EC51F4"/>
    <w:rsid w:val="00EC5A1A"/>
    <w:rsid w:val="00F071BD"/>
    <w:rsid w:val="00F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AB11"/>
  <w15:chartTrackingRefBased/>
  <w15:docId w15:val="{DA6F4BFA-3C06-4C21-BADE-B25091A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D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D07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3D07A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Abdalla</dc:creator>
  <cp:keywords/>
  <dc:description/>
  <cp:lastModifiedBy>Abdelaziz, Mohamed</cp:lastModifiedBy>
  <cp:revision>104</cp:revision>
  <dcterms:created xsi:type="dcterms:W3CDTF">2026-06-02T14:17:00Z</dcterms:created>
  <dcterms:modified xsi:type="dcterms:W3CDTF">2026-06-04T11:12:00Z</dcterms:modified>
</cp:coreProperties>
</file>